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B1897" w14:textId="77777777" w:rsidR="00C95FCD" w:rsidRDefault="004B7489">
      <w:pPr>
        <w:overflowPunct w:val="0"/>
        <w:autoSpaceDE w:val="0"/>
        <w:autoSpaceDN w:val="0"/>
        <w:adjustRightInd w:val="0"/>
        <w:snapToGrid w:val="0"/>
        <w:spacing w:before="156"/>
        <w:jc w:val="left"/>
        <w:textAlignment w:val="baseline"/>
        <w:rPr>
          <w:rFonts w:ascii="Arial" w:hAnsi="Arial" w:cs="Arial"/>
          <w:b/>
          <w:bCs/>
          <w:kern w:val="0"/>
          <w:sz w:val="28"/>
          <w:szCs w:val="28"/>
          <w:lang w:val="en-GB"/>
        </w:rPr>
      </w:pPr>
      <w:r>
        <w:rPr>
          <w:rFonts w:ascii="Arial" w:hAnsi="Arial" w:cs="Arial"/>
          <w:b/>
          <w:bCs/>
          <w:kern w:val="0"/>
          <w:sz w:val="28"/>
          <w:szCs w:val="28"/>
          <w:lang w:val="en-GB"/>
        </w:rPr>
        <w:t>3GPP TSG-RAN WG2 Meeting #</w:t>
      </w:r>
      <w:r>
        <w:rPr>
          <w:rFonts w:ascii="Arial" w:hAnsi="Arial" w:cs="Arial" w:hint="eastAsia"/>
          <w:b/>
          <w:bCs/>
          <w:kern w:val="0"/>
          <w:sz w:val="28"/>
          <w:szCs w:val="28"/>
        </w:rPr>
        <w:t>10</w:t>
      </w:r>
      <w:r>
        <w:rPr>
          <w:rFonts w:ascii="Arial" w:hAnsi="Arial" w:cs="Arial" w:hint="eastAsia"/>
          <w:b/>
          <w:bCs/>
          <w:kern w:val="0"/>
          <w:sz w:val="28"/>
          <w:szCs w:val="28"/>
          <w:lang w:val="en-GB"/>
        </w:rPr>
        <w:t>1</w:t>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hint="eastAsia"/>
          <w:b/>
          <w:bCs/>
          <w:kern w:val="0"/>
          <w:sz w:val="28"/>
          <w:szCs w:val="28"/>
        </w:rPr>
        <w:t xml:space="preserve">                   </w:t>
      </w:r>
      <w:r>
        <w:rPr>
          <w:rFonts w:ascii="Arial" w:hAnsi="Arial" w:cs="Arial" w:hint="eastAsia"/>
          <w:b/>
          <w:bCs/>
          <w:kern w:val="0"/>
          <w:sz w:val="28"/>
          <w:szCs w:val="28"/>
          <w:lang w:val="en-GB"/>
        </w:rPr>
        <w:t>R2-1</w:t>
      </w:r>
      <w:r>
        <w:rPr>
          <w:rFonts w:ascii="Arial" w:hAnsi="Arial" w:cs="Arial" w:hint="eastAsia"/>
          <w:b/>
          <w:bCs/>
          <w:kern w:val="0"/>
          <w:sz w:val="28"/>
          <w:szCs w:val="28"/>
        </w:rPr>
        <w:t>80</w:t>
      </w:r>
      <w:r>
        <w:rPr>
          <w:rFonts w:ascii="Arial" w:hAnsi="Arial" w:cs="Arial" w:hint="eastAsia"/>
          <w:b/>
          <w:bCs/>
          <w:kern w:val="0"/>
          <w:sz w:val="28"/>
          <w:szCs w:val="28"/>
        </w:rPr>
        <w:t>2024</w:t>
      </w:r>
    </w:p>
    <w:p w14:paraId="001B3459" w14:textId="77777777" w:rsidR="00C95FCD" w:rsidRDefault="004B7489">
      <w:pPr>
        <w:overflowPunct w:val="0"/>
        <w:autoSpaceDE w:val="0"/>
        <w:autoSpaceDN w:val="0"/>
        <w:adjustRightInd w:val="0"/>
        <w:snapToGrid w:val="0"/>
        <w:spacing w:before="156"/>
        <w:jc w:val="left"/>
        <w:textAlignment w:val="baseline"/>
        <w:rPr>
          <w:rFonts w:ascii="Arial" w:hAnsi="Arial" w:cs="Arial"/>
          <w:b/>
          <w:bCs/>
          <w:kern w:val="0"/>
          <w:sz w:val="28"/>
          <w:szCs w:val="28"/>
          <w:lang w:val="en-GB"/>
        </w:rPr>
      </w:pPr>
      <w:r>
        <w:rPr>
          <w:rFonts w:ascii="Arial" w:hAnsi="Arial" w:cs="Arial" w:hint="eastAsia"/>
          <w:b/>
          <w:bCs/>
          <w:kern w:val="0"/>
          <w:sz w:val="28"/>
          <w:szCs w:val="28"/>
        </w:rPr>
        <w:t>Athens</w:t>
      </w:r>
      <w:r>
        <w:rPr>
          <w:rFonts w:ascii="Arial" w:hAnsi="Arial" w:cs="Arial"/>
          <w:b/>
          <w:bCs/>
          <w:kern w:val="0"/>
          <w:sz w:val="28"/>
          <w:szCs w:val="28"/>
          <w:lang w:val="en-GB"/>
        </w:rPr>
        <w:t xml:space="preserve">, </w:t>
      </w:r>
      <w:r>
        <w:rPr>
          <w:rFonts w:ascii="Arial" w:hAnsi="Arial" w:cs="Arial" w:hint="eastAsia"/>
          <w:b/>
          <w:bCs/>
          <w:kern w:val="0"/>
          <w:sz w:val="28"/>
          <w:szCs w:val="28"/>
        </w:rPr>
        <w:t>Greece</w:t>
      </w:r>
      <w:r>
        <w:rPr>
          <w:rFonts w:ascii="Arial" w:hAnsi="Arial" w:cs="Arial"/>
          <w:b/>
          <w:bCs/>
          <w:kern w:val="0"/>
          <w:sz w:val="28"/>
          <w:szCs w:val="28"/>
          <w:lang w:val="en-GB"/>
        </w:rPr>
        <w:t>, 2</w:t>
      </w:r>
      <w:r>
        <w:rPr>
          <w:rFonts w:ascii="Arial" w:hAnsi="Arial" w:cs="Arial" w:hint="eastAsia"/>
          <w:b/>
          <w:bCs/>
          <w:kern w:val="0"/>
          <w:sz w:val="28"/>
          <w:szCs w:val="28"/>
        </w:rPr>
        <w:t>6</w:t>
      </w:r>
      <w:r>
        <w:rPr>
          <w:rFonts w:ascii="Arial" w:hAnsi="Arial" w:cs="Arial"/>
          <w:b/>
          <w:bCs/>
          <w:kern w:val="0"/>
          <w:sz w:val="28"/>
          <w:szCs w:val="28"/>
          <w:vertAlign w:val="superscript"/>
          <w:lang w:val="en-GB"/>
        </w:rPr>
        <w:t>th</w:t>
      </w:r>
      <w:r>
        <w:rPr>
          <w:rFonts w:ascii="Arial" w:hAnsi="Arial" w:cs="Arial"/>
          <w:b/>
          <w:bCs/>
          <w:kern w:val="0"/>
          <w:sz w:val="28"/>
          <w:szCs w:val="28"/>
          <w:lang w:val="en-GB"/>
        </w:rPr>
        <w:t xml:space="preserve"> </w:t>
      </w:r>
      <w:r>
        <w:rPr>
          <w:rFonts w:ascii="Arial" w:hAnsi="Arial" w:cs="Arial" w:hint="eastAsia"/>
          <w:b/>
          <w:bCs/>
          <w:kern w:val="0"/>
          <w:sz w:val="28"/>
          <w:szCs w:val="28"/>
        </w:rPr>
        <w:t>Feb</w:t>
      </w:r>
      <w:r>
        <w:rPr>
          <w:rFonts w:ascii="Arial" w:hAnsi="Arial" w:cs="Arial"/>
          <w:b/>
          <w:bCs/>
          <w:kern w:val="0"/>
          <w:sz w:val="28"/>
          <w:szCs w:val="28"/>
          <w:lang w:val="en-GB"/>
        </w:rPr>
        <w:t xml:space="preserve">– </w:t>
      </w:r>
      <w:r>
        <w:rPr>
          <w:rFonts w:ascii="Arial" w:hAnsi="Arial" w:cs="Arial" w:hint="eastAsia"/>
          <w:b/>
          <w:bCs/>
          <w:kern w:val="0"/>
          <w:sz w:val="28"/>
          <w:szCs w:val="28"/>
        </w:rPr>
        <w:t>2</w:t>
      </w:r>
      <w:r>
        <w:rPr>
          <w:rFonts w:ascii="Arial" w:hAnsi="Arial" w:cs="Arial" w:hint="eastAsia"/>
          <w:b/>
          <w:bCs/>
          <w:kern w:val="0"/>
          <w:sz w:val="28"/>
          <w:szCs w:val="28"/>
          <w:vertAlign w:val="superscript"/>
        </w:rPr>
        <w:t>rd</w:t>
      </w:r>
      <w:r>
        <w:rPr>
          <w:rFonts w:ascii="Arial" w:hAnsi="Arial" w:cs="Arial"/>
          <w:b/>
          <w:bCs/>
          <w:kern w:val="0"/>
          <w:sz w:val="28"/>
          <w:szCs w:val="28"/>
          <w:lang w:val="en-GB"/>
        </w:rPr>
        <w:t xml:space="preserve"> </w:t>
      </w:r>
      <w:r>
        <w:rPr>
          <w:rFonts w:ascii="Arial" w:hAnsi="Arial" w:cs="Arial" w:hint="eastAsia"/>
          <w:b/>
          <w:bCs/>
          <w:kern w:val="0"/>
          <w:sz w:val="28"/>
          <w:szCs w:val="28"/>
        </w:rPr>
        <w:t>Mar</w:t>
      </w:r>
      <w:r>
        <w:rPr>
          <w:rFonts w:ascii="Arial" w:hAnsi="Arial" w:cs="Arial" w:hint="eastAsia"/>
          <w:b/>
          <w:bCs/>
          <w:kern w:val="0"/>
          <w:sz w:val="28"/>
          <w:szCs w:val="28"/>
          <w:lang w:val="en-GB"/>
        </w:rPr>
        <w:t xml:space="preserve"> 2018 </w:t>
      </w:r>
    </w:p>
    <w:p w14:paraId="4677DE3A" w14:textId="77777777" w:rsidR="00C95FCD" w:rsidRDefault="004B7489">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 Sanechips</w:t>
      </w:r>
    </w:p>
    <w:p w14:paraId="7F953BEC" w14:textId="77777777" w:rsidR="00C95FCD" w:rsidRDefault="004B7489">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ReportCGI measurement </w:t>
      </w:r>
      <w:r>
        <w:rPr>
          <w:rFonts w:ascii="Arial" w:hAnsi="Arial" w:cs="Arial"/>
          <w:b/>
          <w:bCs/>
          <w:snapToGrid w:val="0"/>
          <w:kern w:val="0"/>
          <w:sz w:val="24"/>
        </w:rPr>
        <w:t xml:space="preserve"> </w:t>
      </w:r>
    </w:p>
    <w:p w14:paraId="1B28B94F" w14:textId="77777777" w:rsidR="00C95FCD" w:rsidRDefault="004B7489">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10.</w:t>
      </w:r>
      <w:r>
        <w:rPr>
          <w:rFonts w:ascii="Arial" w:hAnsi="Arial" w:cs="Arial" w:hint="eastAsia"/>
          <w:b/>
          <w:bCs/>
          <w:snapToGrid w:val="0"/>
          <w:kern w:val="0"/>
          <w:sz w:val="24"/>
        </w:rPr>
        <w:t>4.1.4.6</w:t>
      </w:r>
    </w:p>
    <w:p w14:paraId="0459C6D2" w14:textId="77777777" w:rsidR="00C95FCD" w:rsidRDefault="004B7489">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032D25D5" w14:textId="77777777" w:rsidR="00C95FCD" w:rsidRDefault="004B7489">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7611110D" w14:textId="77777777" w:rsidR="00C95FCD" w:rsidRDefault="004B7489">
      <w:pPr>
        <w:spacing w:before="156"/>
      </w:pPr>
      <w:r>
        <w:rPr>
          <w:rFonts w:hint="eastAsia"/>
        </w:rPr>
        <w:t>During RAN2 #100 Reno meeting, we discussed the MIB content, and reach the consensus that RMSI may not be transmitted by network in non-standalone scenario, see the following agreements:</w:t>
      </w:r>
    </w:p>
    <w:p w14:paraId="07C8142B" w14:textId="77777777" w:rsidR="00C95FCD" w:rsidRDefault="004B7489">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ascii="Arial" w:hAnsi="Arial" w:cs="Arial"/>
          <w:sz w:val="18"/>
          <w:szCs w:val="18"/>
          <w:lang w:val="en-US"/>
        </w:rPr>
      </w:pPr>
      <w:r>
        <w:rPr>
          <w:rFonts w:ascii="Arial" w:eastAsia="MS Mincho" w:hAnsi="Arial" w:cs="Arial"/>
          <w:kern w:val="2"/>
          <w:sz w:val="18"/>
          <w:szCs w:val="18"/>
          <w:lang w:val="en-US" w:eastAsia="zh-CN" w:bidi="ar"/>
        </w:rPr>
        <w:t>Agreements</w:t>
      </w:r>
    </w:p>
    <w:p w14:paraId="21BA6427" w14:textId="77777777" w:rsidR="00C95FCD" w:rsidRDefault="004B7489">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ascii="Arial" w:hAnsi="Arial" w:cs="Arial"/>
          <w:sz w:val="18"/>
          <w:szCs w:val="18"/>
          <w:lang w:val="en-US"/>
        </w:rPr>
      </w:pPr>
      <w:r>
        <w:rPr>
          <w:rFonts w:ascii="Arial" w:eastAsia="MS Mincho" w:hAnsi="Arial" w:cs="Arial"/>
          <w:kern w:val="2"/>
          <w:sz w:val="18"/>
          <w:szCs w:val="18"/>
          <w:lang w:val="en-US" w:eastAsia="zh-CN" w:bidi="ar"/>
        </w:rPr>
        <w:t>1</w:t>
      </w:r>
      <w:r>
        <w:rPr>
          <w:rFonts w:ascii="Arial" w:eastAsia="MS Mincho" w:hAnsi="Arial" w:cs="Arial"/>
          <w:kern w:val="2"/>
          <w:sz w:val="18"/>
          <w:szCs w:val="18"/>
          <w:lang w:val="en-US" w:eastAsia="zh-CN" w:bidi="ar"/>
        </w:rPr>
        <w:tab/>
        <w:t>Create two different MIB encodings, one for</w:t>
      </w:r>
      <w:r>
        <w:rPr>
          <w:rFonts w:ascii="Arial" w:eastAsia="MS Mincho" w:hAnsi="Arial" w:cs="Arial"/>
          <w:kern w:val="2"/>
          <w:sz w:val="18"/>
          <w:szCs w:val="18"/>
          <w:lang w:val="en-US" w:eastAsia="zh-CN" w:bidi="ar"/>
        </w:rPr>
        <w:t xml:space="preserve"> sub-6 and one for mmWave (sub-6 encoding will require fewer bits).</w:t>
      </w:r>
    </w:p>
    <w:p w14:paraId="06A0FE4B" w14:textId="77777777" w:rsidR="00C95FCD" w:rsidRDefault="004B7489">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ascii="Arial" w:hAnsi="Arial" w:cs="Arial"/>
          <w:sz w:val="18"/>
          <w:szCs w:val="18"/>
          <w:lang w:val="en-US"/>
        </w:rPr>
      </w:pPr>
      <w:r>
        <w:rPr>
          <w:rFonts w:ascii="Arial" w:eastAsia="MS Mincho" w:hAnsi="Arial" w:cs="Arial"/>
          <w:kern w:val="2"/>
          <w:sz w:val="18"/>
          <w:szCs w:val="18"/>
          <w:lang w:val="en-US" w:eastAsia="zh-CN" w:bidi="ar"/>
        </w:rPr>
        <w:t>2</w:t>
      </w:r>
      <w:r>
        <w:rPr>
          <w:rFonts w:ascii="Arial" w:eastAsia="MS Mincho" w:hAnsi="Arial" w:cs="Arial"/>
          <w:kern w:val="2"/>
          <w:sz w:val="18"/>
          <w:szCs w:val="18"/>
          <w:lang w:val="en-US" w:eastAsia="zh-CN" w:bidi="ar"/>
        </w:rPr>
        <w:tab/>
        <w:t>ssb-subcarrierOffset should be mandatory present and its value range should be from 0..11 (already captured in TP)</w:t>
      </w:r>
    </w:p>
    <w:p w14:paraId="694839B7" w14:textId="77777777" w:rsidR="00C95FCD" w:rsidRDefault="004B7489">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ascii="Arial" w:hAnsi="Arial" w:cs="Arial"/>
          <w:sz w:val="18"/>
          <w:szCs w:val="18"/>
          <w:highlight w:val="yellow"/>
          <w:lang w:val="en-US"/>
        </w:rPr>
      </w:pPr>
      <w:r>
        <w:rPr>
          <w:rFonts w:ascii="Arial" w:eastAsia="MS Mincho" w:hAnsi="Arial" w:cs="Arial"/>
          <w:kern w:val="2"/>
          <w:sz w:val="18"/>
          <w:szCs w:val="18"/>
          <w:lang w:val="en-US" w:eastAsia="zh-CN" w:bidi="ar"/>
        </w:rPr>
        <w:t>3</w:t>
      </w:r>
      <w:r>
        <w:rPr>
          <w:rFonts w:ascii="Arial" w:eastAsia="MS Mincho" w:hAnsi="Arial" w:cs="Arial"/>
          <w:kern w:val="2"/>
          <w:sz w:val="18"/>
          <w:szCs w:val="18"/>
          <w:lang w:val="en-US" w:eastAsia="zh-CN" w:bidi="ar"/>
        </w:rPr>
        <w:tab/>
      </w:r>
      <w:r>
        <w:rPr>
          <w:rFonts w:ascii="Arial" w:eastAsia="MS Mincho" w:hAnsi="Arial" w:cs="Arial"/>
          <w:kern w:val="2"/>
          <w:sz w:val="18"/>
          <w:szCs w:val="18"/>
          <w:highlight w:val="yellow"/>
          <w:lang w:val="en-US" w:eastAsia="zh-CN" w:bidi="ar"/>
        </w:rPr>
        <w:t xml:space="preserve">Consider pdcchConfigSIB1 (in MIB) as mandatory field and define one code-point (e.g. all-zeros) as “SIB1 not present”. </w:t>
      </w:r>
    </w:p>
    <w:p w14:paraId="12DB23B5" w14:textId="77777777" w:rsidR="00C95FCD" w:rsidRDefault="004B7489">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ascii="Arial" w:hAnsi="Arial" w:cs="Arial"/>
          <w:sz w:val="18"/>
          <w:szCs w:val="18"/>
          <w:highlight w:val="yellow"/>
          <w:lang w:val="en-US"/>
        </w:rPr>
      </w:pPr>
      <w:r>
        <w:rPr>
          <w:rFonts w:ascii="Arial" w:eastAsia="MS Mincho" w:hAnsi="Arial" w:cs="Arial"/>
          <w:kern w:val="2"/>
          <w:sz w:val="18"/>
          <w:szCs w:val="18"/>
          <w:highlight w:val="yellow"/>
          <w:lang w:val="en-US" w:eastAsia="zh-CN" w:bidi="ar"/>
        </w:rPr>
        <w:t>=&gt;</w:t>
      </w:r>
      <w:r>
        <w:rPr>
          <w:rFonts w:ascii="Arial" w:eastAsia="MS Mincho" w:hAnsi="Arial" w:cs="Arial"/>
          <w:kern w:val="2"/>
          <w:sz w:val="18"/>
          <w:szCs w:val="18"/>
          <w:highlight w:val="yellow"/>
          <w:lang w:val="en-US" w:eastAsia="zh-CN" w:bidi="ar"/>
        </w:rPr>
        <w:tab/>
        <w:t>Inform RAN1 of MIB decisions (1 and 3). Can explain to RAN1 the reason to define this code point.</w:t>
      </w:r>
    </w:p>
    <w:p w14:paraId="7BF5A4C0" w14:textId="77777777" w:rsidR="00C95FCD" w:rsidRDefault="004B7489">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ascii="Arial" w:hAnsi="Arial" w:cs="Arial"/>
          <w:sz w:val="18"/>
          <w:szCs w:val="18"/>
          <w:lang w:val="en-US"/>
        </w:rPr>
      </w:pPr>
      <w:r>
        <w:rPr>
          <w:rFonts w:ascii="Arial" w:eastAsia="MS Mincho" w:hAnsi="Arial" w:cs="Arial"/>
          <w:kern w:val="2"/>
          <w:sz w:val="18"/>
          <w:szCs w:val="18"/>
          <w:lang w:val="en-US" w:eastAsia="zh-CN" w:bidi="ar"/>
        </w:rPr>
        <w:t>4</w:t>
      </w:r>
      <w:r>
        <w:rPr>
          <w:rFonts w:ascii="Arial" w:eastAsia="MS Mincho" w:hAnsi="Arial" w:cs="Arial"/>
          <w:kern w:val="2"/>
          <w:sz w:val="18"/>
          <w:szCs w:val="18"/>
          <w:lang w:val="en-US" w:eastAsia="zh-CN" w:bidi="ar"/>
        </w:rPr>
        <w:tab/>
        <w:t xml:space="preserve">The NW may reconfigure BWPs in </w:t>
      </w:r>
      <w:r>
        <w:rPr>
          <w:rFonts w:ascii="Arial" w:eastAsia="MS Mincho" w:hAnsi="Arial" w:cs="Arial"/>
          <w:kern w:val="2"/>
          <w:sz w:val="18"/>
          <w:szCs w:val="18"/>
          <w:lang w:val="en-US" w:eastAsia="zh-CN" w:bidi="ar"/>
        </w:rPr>
        <w:t>ServingCellConfigDedicated with or without synchronousReconfiguration (up to NW implementation).</w:t>
      </w:r>
    </w:p>
    <w:p w14:paraId="19BE5D54" w14:textId="77777777" w:rsidR="00C95FCD" w:rsidRDefault="004B7489">
      <w:pPr>
        <w:spacing w:before="156"/>
      </w:pPr>
      <w:r>
        <w:rPr>
          <w:rFonts w:hint="eastAsia"/>
        </w:rPr>
        <w:t xml:space="preserve">However, the code-point method(e.g. set pdcchConfigSIB1 as all-zeros) has not been agreed in RAN1, and during RAN1 #91 meeting, they made following agreements </w:t>
      </w:r>
      <w:r>
        <w:rPr>
          <w:rFonts w:hint="eastAsia"/>
        </w:rPr>
        <w:t xml:space="preserve">for SSB. </w:t>
      </w:r>
    </w:p>
    <w:p w14:paraId="370F117E" w14:textId="77777777" w:rsidR="00C95FCD" w:rsidRDefault="004B7489">
      <w:pPr>
        <w:pStyle w:val="BodyText"/>
        <w:spacing w:beforeLines="0" w:before="0" w:after="0" w:line="240" w:lineRule="auto"/>
        <w:jc w:val="both"/>
        <w:rPr>
          <w:rFonts w:ascii="Times" w:eastAsia="Batang" w:hAnsi="Times"/>
          <w:sz w:val="21"/>
          <w:szCs w:val="20"/>
          <w:highlight w:val="green"/>
          <w:lang w:eastAsia="en-US"/>
        </w:rPr>
      </w:pPr>
      <w:r>
        <w:rPr>
          <w:rFonts w:ascii="Times" w:eastAsia="Batang" w:hAnsi="Times"/>
          <w:sz w:val="21"/>
          <w:szCs w:val="20"/>
          <w:highlight w:val="green"/>
          <w:lang w:eastAsia="en-US"/>
        </w:rPr>
        <w:t>Agreements:</w:t>
      </w:r>
    </w:p>
    <w:p w14:paraId="581EEE88" w14:textId="77777777" w:rsidR="00C95FCD" w:rsidRDefault="004B7489">
      <w:pPr>
        <w:pStyle w:val="BodyText"/>
        <w:numPr>
          <w:ilvl w:val="0"/>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lang w:eastAsia="en-US"/>
        </w:rPr>
        <w:t>For measurem</w:t>
      </w:r>
      <w:bookmarkStart w:id="2" w:name="OLE_LINK1"/>
      <w:r>
        <w:rPr>
          <w:rFonts w:ascii="Times" w:eastAsia="Batang" w:hAnsi="Times"/>
          <w:szCs w:val="18"/>
          <w:lang w:eastAsia="en-US"/>
        </w:rPr>
        <w:t>ent, SSB frequency location (except for cell d</w:t>
      </w:r>
      <w:bookmarkEnd w:id="2"/>
      <w:r>
        <w:rPr>
          <w:rFonts w:ascii="Times" w:eastAsia="Batang" w:hAnsi="Times"/>
          <w:szCs w:val="18"/>
          <w:lang w:eastAsia="en-US"/>
        </w:rPr>
        <w:t>efining SS/PBCH blocks of the serving cell which supports standalone access) may or may not be located on the sync raster</w:t>
      </w:r>
    </w:p>
    <w:p w14:paraId="35B1B67E" w14:textId="77777777" w:rsidR="00C95FCD" w:rsidRDefault="004B7489">
      <w:pPr>
        <w:pStyle w:val="BodyText"/>
        <w:spacing w:beforeLines="0" w:before="0" w:after="0" w:line="240" w:lineRule="auto"/>
        <w:jc w:val="both"/>
        <w:rPr>
          <w:rFonts w:ascii="Times" w:eastAsia="Batang" w:hAnsi="Times"/>
          <w:sz w:val="21"/>
          <w:szCs w:val="20"/>
          <w:highlight w:val="green"/>
          <w:lang w:eastAsia="en-US"/>
        </w:rPr>
      </w:pPr>
      <w:r>
        <w:rPr>
          <w:rFonts w:ascii="Times" w:eastAsia="Batang" w:hAnsi="Times"/>
          <w:sz w:val="21"/>
          <w:szCs w:val="20"/>
          <w:highlight w:val="green"/>
          <w:lang w:eastAsia="en-US"/>
        </w:rPr>
        <w:t>Agreements:</w:t>
      </w:r>
    </w:p>
    <w:p w14:paraId="7DB2C681" w14:textId="77777777" w:rsidR="00C95FCD" w:rsidRDefault="004B7489">
      <w:pPr>
        <w:pStyle w:val="BodyText"/>
        <w:numPr>
          <w:ilvl w:val="0"/>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lang w:eastAsia="en-US"/>
        </w:rPr>
        <w:t>For a</w:t>
      </w:r>
      <w:bookmarkStart w:id="3" w:name="OLE_LINK16"/>
      <w:r>
        <w:rPr>
          <w:rFonts w:ascii="Times" w:eastAsia="Batang" w:hAnsi="Times"/>
          <w:szCs w:val="18"/>
          <w:lang w:eastAsia="en-US"/>
        </w:rPr>
        <w:t>n SSB on the sync raster, the indicat</w:t>
      </w:r>
      <w:r>
        <w:rPr>
          <w:rFonts w:ascii="Times" w:eastAsia="Batang" w:hAnsi="Times"/>
          <w:szCs w:val="18"/>
          <w:lang w:eastAsia="en-US"/>
        </w:rPr>
        <w:t>ion of no associated RMSI is d</w:t>
      </w:r>
      <w:bookmarkEnd w:id="3"/>
      <w:r>
        <w:rPr>
          <w:rFonts w:ascii="Times" w:eastAsia="Batang" w:hAnsi="Times"/>
          <w:szCs w:val="18"/>
          <w:lang w:eastAsia="en-US"/>
        </w:rPr>
        <w:t xml:space="preserve">one using reserved value(s) in SSB-subcarrier-offset. </w:t>
      </w:r>
      <w:bookmarkStart w:id="4" w:name="OLE_LINK15"/>
      <w:r>
        <w:rPr>
          <w:rFonts w:ascii="Times" w:eastAsia="Batang" w:hAnsi="Times"/>
          <w:szCs w:val="18"/>
          <w:lang w:eastAsia="en-US"/>
        </w:rPr>
        <w:t>If no RMSI present, RMSI-PDCCH-Co</w:t>
      </w:r>
      <w:bookmarkEnd w:id="4"/>
      <w:r>
        <w:rPr>
          <w:rFonts w:ascii="Times" w:eastAsia="Batang" w:hAnsi="Times"/>
          <w:szCs w:val="18"/>
          <w:lang w:eastAsia="en-US"/>
        </w:rPr>
        <w:t>nfig is used to signal the next sync raster that UE should search for cell-defining SSB.</w:t>
      </w:r>
    </w:p>
    <w:p w14:paraId="4E762EAF" w14:textId="77777777" w:rsidR="00C95FCD" w:rsidRDefault="004B7489">
      <w:pPr>
        <w:spacing w:before="156"/>
      </w:pPr>
      <w:r>
        <w:rPr>
          <w:rFonts w:hint="eastAsia"/>
        </w:rPr>
        <w:t>Considering above agreement, i</w:t>
      </w:r>
      <w:r>
        <w:rPr>
          <w:rFonts w:hint="eastAsia"/>
        </w:rPr>
        <w:t>n this contribution,</w:t>
      </w:r>
      <w:r>
        <w:rPr>
          <w:rFonts w:hint="eastAsia"/>
        </w:rPr>
        <w:t xml:space="preserve"> </w:t>
      </w:r>
      <w:r>
        <w:rPr>
          <w:rFonts w:hint="eastAsia"/>
        </w:rPr>
        <w:t>we discussed the detail solution and UE behaviour upon  reportCGI measurement in NR.</w:t>
      </w:r>
    </w:p>
    <w:p w14:paraId="26E9D81A" w14:textId="77777777" w:rsidR="00C95FCD" w:rsidRDefault="004B7489">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74141FD4" w14:textId="77777777" w:rsidR="00C95FCD" w:rsidRDefault="004B7489">
      <w:pPr>
        <w:spacing w:before="156"/>
      </w:pPr>
      <w:r>
        <w:rPr>
          <w:rFonts w:hint="eastAsia"/>
        </w:rPr>
        <w:t>According to RAN1 #91 agreement, SSB can be located on sync raster, or not located on sync raster, for the second case, although the SSB can not be detected by</w:t>
      </w:r>
      <w:r>
        <w:rPr>
          <w:rFonts w:hint="eastAsia"/>
        </w:rPr>
        <w:t xml:space="preserve"> Idle/Inactive states UEs, but the main intention of introducing this </w:t>
      </w:r>
      <w:r>
        <w:rPr>
          <w:rFonts w:hint="eastAsia"/>
        </w:rPr>
        <w:lastRenderedPageBreak/>
        <w:t>kind of SSB is to assist connected UE to perform SSB based measurement. So from RAN2</w:t>
      </w:r>
      <w:r>
        <w:t>’</w:t>
      </w:r>
      <w:r>
        <w:rPr>
          <w:rFonts w:hint="eastAsia"/>
        </w:rPr>
        <w:t>s perspective, irrespective of whether SSB is located on sync raster or not, UE is able to perform me</w:t>
      </w:r>
      <w:r>
        <w:rPr>
          <w:rFonts w:hint="eastAsia"/>
        </w:rPr>
        <w:t xml:space="preserve">asurement on the SSB, as long as it receives the frequency information(eg. GSCN or NR-ARFCN) of SSB in MO. </w:t>
      </w:r>
    </w:p>
    <w:p w14:paraId="431605AC" w14:textId="77777777" w:rsidR="00C95FCD" w:rsidRDefault="004B7489">
      <w:pPr>
        <w:spacing w:before="156"/>
      </w:pPr>
      <w:r>
        <w:rPr>
          <w:rFonts w:hint="eastAsia"/>
        </w:rPr>
        <w:t>Regarding to ANR feature, when network receives an measurement report including an unknown PCI, the network can instruct UE to obtain the CGI of tar</w:t>
      </w:r>
      <w:r>
        <w:rPr>
          <w:rFonts w:hint="eastAsia"/>
        </w:rPr>
        <w:t>get cell by configuring reportCGI measurement towards UE, different from LTE, in NR, from RAN2</w:t>
      </w:r>
      <w:r>
        <w:t>’</w:t>
      </w:r>
      <w:r>
        <w:rPr>
          <w:rFonts w:hint="eastAsia"/>
        </w:rPr>
        <w:t>s perspective, following cases are on the table:</w:t>
      </w:r>
    </w:p>
    <w:p w14:paraId="3EE4627D" w14:textId="77777777" w:rsidR="00C95FCD" w:rsidRDefault="004B7489">
      <w:pPr>
        <w:numPr>
          <w:ilvl w:val="0"/>
          <w:numId w:val="5"/>
        </w:numPr>
        <w:spacing w:before="156"/>
      </w:pPr>
      <w:r>
        <w:rPr>
          <w:rFonts w:hint="eastAsia"/>
        </w:rPr>
        <w:t>Case 1: The measured SSB of target cell is associated with RMSI(normal case);</w:t>
      </w:r>
    </w:p>
    <w:p w14:paraId="5AA3286E" w14:textId="77777777" w:rsidR="00C95FCD" w:rsidRDefault="004B7489">
      <w:pPr>
        <w:numPr>
          <w:ilvl w:val="0"/>
          <w:numId w:val="5"/>
        </w:numPr>
        <w:spacing w:before="156"/>
      </w:pPr>
      <w:r>
        <w:rPr>
          <w:rFonts w:hint="eastAsia"/>
        </w:rPr>
        <w:t xml:space="preserve">Case2: The measured SSB of target </w:t>
      </w:r>
      <w:r>
        <w:rPr>
          <w:rFonts w:hint="eastAsia"/>
        </w:rPr>
        <w:t>cell is not associated with RMSI, but the content of PBCH indicates the next sync raster of CD-SSB which associated with RMSI(multiple SSBs case);</w:t>
      </w:r>
    </w:p>
    <w:p w14:paraId="4052E7B1" w14:textId="77777777" w:rsidR="00C95FCD" w:rsidRDefault="004B7489">
      <w:pPr>
        <w:numPr>
          <w:ilvl w:val="0"/>
          <w:numId w:val="5"/>
        </w:numPr>
        <w:spacing w:before="156"/>
      </w:pPr>
      <w:r>
        <w:rPr>
          <w:rFonts w:hint="eastAsia"/>
        </w:rPr>
        <w:t>Case3: The measured SSB of target cell is not associated with RMSI, and without any indication of next CD-SSB</w:t>
      </w:r>
      <w:r>
        <w:rPr>
          <w:rFonts w:hint="eastAsia"/>
        </w:rPr>
        <w:t xml:space="preserve"> (non standalone case); </w:t>
      </w:r>
    </w:p>
    <w:p w14:paraId="478F4213" w14:textId="77777777" w:rsidR="00C95FCD" w:rsidRDefault="004B7489">
      <w:pPr>
        <w:spacing w:before="156"/>
      </w:pPr>
      <w:r>
        <w:rPr>
          <w:rFonts w:hint="eastAsia"/>
        </w:rPr>
        <w:t>For case1 in reportCGI measurement, after UE synchronizes to the target cell, UE can obtain the scheduling information of RMSI directly, and acquire the cell information(i.e. CGI/TAC/PLMN list) by decoding the RMSI.</w:t>
      </w:r>
    </w:p>
    <w:p w14:paraId="5DE6A566" w14:textId="77777777" w:rsidR="00C95FCD" w:rsidRDefault="004B7489">
      <w:pPr>
        <w:spacing w:before="156"/>
      </w:pPr>
      <w:r>
        <w:rPr>
          <w:rFonts w:hint="eastAsia"/>
        </w:rPr>
        <w:t>For case2 in re</w:t>
      </w:r>
      <w:r>
        <w:rPr>
          <w:rFonts w:hint="eastAsia"/>
        </w:rPr>
        <w:t>portCGI measurement, after UE synchronizes to the target cell and decodes the PBCH content, UE may notice that the SSB is not associated with RMSI, instead, the pdcch-ConfigSIB1 IE indicates the location of another CD-SSB, in this case, in order to success</w:t>
      </w:r>
      <w:r>
        <w:rPr>
          <w:rFonts w:hint="eastAsia"/>
        </w:rPr>
        <w:t xml:space="preserve">fully obtain the cell information of target cell, in our mind, the UE should jump to the indicated CD-SSB to acquire the schedule information of RMSI, and derives the cell information after decoding the RMSI.   </w:t>
      </w:r>
    </w:p>
    <w:p w14:paraId="7464135E" w14:textId="77777777" w:rsidR="00C95FCD" w:rsidRDefault="004B7489">
      <w:pPr>
        <w:spacing w:before="156" w:afterLines="50" w:after="156"/>
        <w:ind w:left="1202" w:hangingChars="570" w:hanging="1202"/>
        <w:rPr>
          <w:b/>
        </w:rPr>
      </w:pPr>
      <w:r>
        <w:rPr>
          <w:rFonts w:hint="eastAsia"/>
          <w:b/>
        </w:rPr>
        <w:t>Proposal 1:</w:t>
      </w:r>
      <w:r>
        <w:rPr>
          <w:rFonts w:hint="eastAsia"/>
          <w:b/>
        </w:rPr>
        <w:tab/>
        <w:t>Upon receiving the reportCGI mea</w:t>
      </w:r>
      <w:r>
        <w:rPr>
          <w:rFonts w:hint="eastAsia"/>
          <w:b/>
        </w:rPr>
        <w:t>surement, if the indicated SSB of target cell is not associated with RMSI, and a next CD-SSB position is indicated, UE should jump to the indicated CD-SSB to acquire RMSI and cell information, and send the cell information to network in reportCGI measureme</w:t>
      </w:r>
      <w:r>
        <w:rPr>
          <w:rFonts w:hint="eastAsia"/>
          <w:b/>
        </w:rPr>
        <w:t xml:space="preserve">nt report.  </w:t>
      </w:r>
    </w:p>
    <w:p w14:paraId="3E47EAC5" w14:textId="77777777" w:rsidR="00C95FCD" w:rsidRDefault="004B7489">
      <w:pPr>
        <w:spacing w:before="156"/>
      </w:pPr>
      <w:r>
        <w:rPr>
          <w:rFonts w:hint="eastAsia"/>
        </w:rPr>
        <w:t>For case3 in reportCGI measurement, after UE synchronizes to the target cell and decodes the PBCH content, UE may notice that the SSB is not associated with RMSI, in addition, there</w:t>
      </w:r>
      <w:r>
        <w:t>’</w:t>
      </w:r>
      <w:r>
        <w:rPr>
          <w:rFonts w:hint="eastAsia"/>
        </w:rPr>
        <w:t>s no indication of next CD-SSB, then reportCGI procedure will</w:t>
      </w:r>
      <w:r>
        <w:rPr>
          <w:rFonts w:hint="eastAsia"/>
        </w:rPr>
        <w:t xml:space="preserve"> fail naturally.</w:t>
      </w:r>
    </w:p>
    <w:p w14:paraId="68065783" w14:textId="77777777" w:rsidR="00C95FCD" w:rsidRDefault="004B7489">
      <w:pPr>
        <w:spacing w:before="156" w:afterLines="50" w:after="156"/>
        <w:ind w:left="1202" w:hangingChars="570" w:hanging="1202"/>
        <w:rPr>
          <w:b/>
        </w:rPr>
      </w:pPr>
      <w:r>
        <w:rPr>
          <w:rFonts w:hint="eastAsia"/>
          <w:b/>
        </w:rPr>
        <w:t xml:space="preserve">Observation1: </w:t>
      </w:r>
      <w:r>
        <w:rPr>
          <w:rFonts w:hint="eastAsia"/>
          <w:b/>
        </w:rPr>
        <w:tab/>
        <w:t xml:space="preserve">ReportCGI procedure will fail if the indicated SSB of target cell is not associated with RMSI and without the indication of next SSB. </w:t>
      </w:r>
    </w:p>
    <w:p w14:paraId="56583586" w14:textId="3DDF9933" w:rsidR="00C95FCD" w:rsidRDefault="004B7489">
      <w:pPr>
        <w:spacing w:before="156"/>
      </w:pPr>
      <w:r>
        <w:rPr>
          <w:rFonts w:hint="eastAsia"/>
        </w:rPr>
        <w:t>In LTE, UE can only declare the failure of reportCGI procedure when the corresponding tim</w:t>
      </w:r>
      <w:r>
        <w:rPr>
          <w:rFonts w:hint="eastAsia"/>
        </w:rPr>
        <w:t>er</w:t>
      </w:r>
      <w:r>
        <w:t xml:space="preserve"> </w:t>
      </w:r>
      <w:bookmarkStart w:id="5" w:name="_GoBack"/>
      <w:bookmarkEnd w:id="5"/>
      <w:r>
        <w:rPr>
          <w:rFonts w:hint="eastAsia"/>
        </w:rPr>
        <w:t xml:space="preserve">(i.e. T321) expires, and send measurement report to network without including the </w:t>
      </w:r>
      <w:r>
        <w:t>“</w:t>
      </w:r>
      <w:r>
        <w:rPr>
          <w:rFonts w:hint="eastAsia"/>
        </w:rPr>
        <w:t>cgi-Info</w:t>
      </w:r>
      <w:r>
        <w:t>”</w:t>
      </w:r>
      <w:r>
        <w:rPr>
          <w:rFonts w:hint="eastAsia"/>
        </w:rPr>
        <w:t>, when network receives the measurement report, the network is aware of the failure, and then select other UEs to trigger reportCGI towards that cell. However, in</w:t>
      </w:r>
      <w:r>
        <w:rPr>
          <w:rFonts w:hint="eastAsia"/>
        </w:rPr>
        <w:t xml:space="preserve"> NR, it</w:t>
      </w:r>
      <w:r>
        <w:t>’</w:t>
      </w:r>
      <w:r>
        <w:rPr>
          <w:rFonts w:hint="eastAsia"/>
        </w:rPr>
        <w:t>s unreasonable to wait for the timer expiry to declare the failure, when UE notices the SSB is not associated with RMSI, so we propose.</w:t>
      </w:r>
    </w:p>
    <w:p w14:paraId="110A35F7" w14:textId="77777777" w:rsidR="00C95FCD" w:rsidRDefault="004B7489">
      <w:pPr>
        <w:spacing w:before="156" w:afterLines="50" w:after="156"/>
        <w:ind w:left="1202" w:hangingChars="570" w:hanging="1202"/>
        <w:rPr>
          <w:b/>
        </w:rPr>
      </w:pPr>
      <w:r>
        <w:rPr>
          <w:rFonts w:hint="eastAsia"/>
          <w:b/>
        </w:rPr>
        <w:t xml:space="preserve">Proposal 2: </w:t>
      </w:r>
      <w:r>
        <w:rPr>
          <w:rFonts w:hint="eastAsia"/>
          <w:b/>
        </w:rPr>
        <w:tab/>
        <w:t>Upon receiving the reportCGI measurement, if the indicated SSB of target cell is not associated wit</w:t>
      </w:r>
      <w:r>
        <w:rPr>
          <w:rFonts w:hint="eastAsia"/>
          <w:b/>
        </w:rPr>
        <w:t xml:space="preserve">h RMSI, and next CD-SSB position is not indicated, UE can send measurement report to network immediately. </w:t>
      </w:r>
    </w:p>
    <w:p w14:paraId="4FC507DE" w14:textId="77777777" w:rsidR="00C95FCD" w:rsidRDefault="004B7489">
      <w:pPr>
        <w:spacing w:before="156"/>
      </w:pPr>
      <w:r>
        <w:rPr>
          <w:rFonts w:hint="eastAsia"/>
        </w:rPr>
        <w:t xml:space="preserve">In addition, for above failure case, if UE sends measurement report without including cgi-info to network(i.e. as in LTE), the network is unaware of </w:t>
      </w:r>
      <w:r>
        <w:rPr>
          <w:rFonts w:hint="eastAsia"/>
        </w:rPr>
        <w:t>the failure reason, and may assume that failure happens due to UE is not within the coverage of target cell, then network will probably make a wrong decision by choosing other UEs to perform reportCGI towards that cell(i.e. frequency + PCI), and failure wi</w:t>
      </w:r>
      <w:r>
        <w:rPr>
          <w:rFonts w:hint="eastAsia"/>
        </w:rPr>
        <w:t xml:space="preserve">ll happen repetitively. In order to solve this problem, the simplest way is to introduce an explicit indication in measurement report, to notify network that reportCGI fails due to the SSB is not associated with RMSI. </w:t>
      </w:r>
    </w:p>
    <w:p w14:paraId="54CB9FE5" w14:textId="77777777" w:rsidR="00C95FCD" w:rsidRDefault="004B7489">
      <w:pPr>
        <w:spacing w:before="156" w:afterLines="50" w:after="156"/>
        <w:ind w:left="1202" w:hangingChars="570" w:hanging="1202"/>
        <w:rPr>
          <w:b/>
        </w:rPr>
      </w:pPr>
      <w:r>
        <w:rPr>
          <w:rFonts w:hint="eastAsia"/>
          <w:b/>
        </w:rPr>
        <w:t xml:space="preserve">Proposal 3: </w:t>
      </w:r>
      <w:r>
        <w:rPr>
          <w:rFonts w:hint="eastAsia"/>
          <w:b/>
        </w:rPr>
        <w:tab/>
        <w:t>Introduce an explicit in</w:t>
      </w:r>
      <w:r>
        <w:rPr>
          <w:rFonts w:hint="eastAsia"/>
          <w:b/>
        </w:rPr>
        <w:t xml:space="preserve">dication in reportCGI measurement result, which is used to notify network that reportCGI procedure fails due to the SSB is not associated with RMSI. </w:t>
      </w:r>
    </w:p>
    <w:p w14:paraId="22C202A3" w14:textId="77777777" w:rsidR="00C95FCD" w:rsidRDefault="004B7489">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07EBF704" w14:textId="77777777" w:rsidR="00C95FCD" w:rsidRDefault="004B7489">
      <w:pPr>
        <w:spacing w:before="156"/>
      </w:pPr>
      <w:r>
        <w:rPr>
          <w:sz w:val="22"/>
        </w:rPr>
        <w:t xml:space="preserve">RAN2 is kindly </w:t>
      </w:r>
      <w:r>
        <w:rPr>
          <w:rFonts w:hint="eastAsia"/>
        </w:rPr>
        <w:t xml:space="preserve">asked </w:t>
      </w:r>
      <w:r>
        <w:rPr>
          <w:sz w:val="22"/>
        </w:rPr>
        <w:t>to discuss and adopt the following proposal</w:t>
      </w:r>
      <w:r>
        <w:t>:</w:t>
      </w:r>
    </w:p>
    <w:p w14:paraId="02701917" w14:textId="77777777" w:rsidR="00C95FCD" w:rsidRDefault="004B7489">
      <w:pPr>
        <w:spacing w:before="156" w:afterLines="50" w:after="156"/>
        <w:ind w:left="1202" w:hangingChars="570" w:hanging="1202"/>
        <w:rPr>
          <w:b/>
        </w:rPr>
      </w:pPr>
      <w:r>
        <w:rPr>
          <w:rFonts w:hint="eastAsia"/>
          <w:b/>
        </w:rPr>
        <w:t xml:space="preserve">Observation1: </w:t>
      </w:r>
      <w:r>
        <w:rPr>
          <w:rFonts w:hint="eastAsia"/>
          <w:b/>
        </w:rPr>
        <w:tab/>
      </w:r>
      <w:r>
        <w:rPr>
          <w:rFonts w:hint="eastAsia"/>
          <w:b/>
        </w:rPr>
        <w:t xml:space="preserve">ReportCGI procedure will fail if the indicated SSB of target cell is not associated with RMSI and without the indication of next SSB. </w:t>
      </w:r>
    </w:p>
    <w:p w14:paraId="217F4985" w14:textId="77777777" w:rsidR="00C95FCD" w:rsidRDefault="004B7489">
      <w:pPr>
        <w:spacing w:before="156" w:afterLines="50" w:after="156"/>
        <w:ind w:left="1202" w:hangingChars="570" w:hanging="1202"/>
        <w:rPr>
          <w:b/>
        </w:rPr>
      </w:pPr>
      <w:r>
        <w:rPr>
          <w:rFonts w:hint="eastAsia"/>
          <w:b/>
        </w:rPr>
        <w:t>Proposal 1:</w:t>
      </w:r>
      <w:r>
        <w:rPr>
          <w:rFonts w:hint="eastAsia"/>
          <w:b/>
        </w:rPr>
        <w:tab/>
        <w:t>Upon receiving the reportCGI measurement, if the indicated SSB of target cell is not associated with RMSI, an</w:t>
      </w:r>
      <w:r>
        <w:rPr>
          <w:rFonts w:hint="eastAsia"/>
          <w:b/>
        </w:rPr>
        <w:t xml:space="preserve">d a next CD-SSB position is indicated, UE should jump to the indicated CD-SSB to acquire RMSI and cell information, and send the cell information to network in reportCGI measurement report.  </w:t>
      </w:r>
    </w:p>
    <w:p w14:paraId="2B3435B5" w14:textId="77777777" w:rsidR="00C95FCD" w:rsidRDefault="004B7489">
      <w:pPr>
        <w:spacing w:before="156" w:afterLines="50" w:after="156"/>
        <w:ind w:left="1202" w:hangingChars="570" w:hanging="1202"/>
        <w:rPr>
          <w:b/>
        </w:rPr>
      </w:pPr>
      <w:r>
        <w:rPr>
          <w:rFonts w:hint="eastAsia"/>
          <w:b/>
        </w:rPr>
        <w:t xml:space="preserve">Proposal 2: </w:t>
      </w:r>
      <w:r>
        <w:rPr>
          <w:rFonts w:hint="eastAsia"/>
          <w:b/>
        </w:rPr>
        <w:tab/>
        <w:t>Upon receiving the reportCGI measurement, if the in</w:t>
      </w:r>
      <w:r>
        <w:rPr>
          <w:rFonts w:hint="eastAsia"/>
          <w:b/>
        </w:rPr>
        <w:t xml:space="preserve">dicated SSB of target cell is not associated with RMSI, and next CD-SSB position is not indicated, UE can send measurement report to network immediately. </w:t>
      </w:r>
    </w:p>
    <w:p w14:paraId="0CFD28B0" w14:textId="77777777" w:rsidR="00C95FCD" w:rsidRDefault="004B7489">
      <w:pPr>
        <w:spacing w:before="156" w:afterLines="50" w:after="156"/>
        <w:ind w:left="1202" w:hangingChars="570" w:hanging="1202"/>
        <w:rPr>
          <w:b/>
        </w:rPr>
      </w:pPr>
      <w:r>
        <w:rPr>
          <w:rFonts w:hint="eastAsia"/>
          <w:b/>
        </w:rPr>
        <w:t xml:space="preserve">Proposal 3: </w:t>
      </w:r>
      <w:r>
        <w:rPr>
          <w:rFonts w:hint="eastAsia"/>
          <w:b/>
        </w:rPr>
        <w:tab/>
        <w:t>Introduce an explicit indication in reportCGI measurement result, which is used to notif</w:t>
      </w:r>
      <w:r>
        <w:rPr>
          <w:rFonts w:hint="eastAsia"/>
          <w:b/>
        </w:rPr>
        <w:t xml:space="preserve">y network that reportCGI procedure fails due to the SSB is not associated with RMSI. </w:t>
      </w:r>
    </w:p>
    <w:p w14:paraId="670EA9CC" w14:textId="77777777" w:rsidR="00C95FCD" w:rsidRDefault="00C95FCD">
      <w:pPr>
        <w:pStyle w:val="ListParagraph1"/>
        <w:spacing w:before="156"/>
        <w:ind w:firstLineChars="0" w:firstLine="0"/>
      </w:pPr>
    </w:p>
    <w:sectPr w:rsidR="00C95FCD">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1DC2C" w14:textId="77777777" w:rsidR="00000000" w:rsidRDefault="004B7489">
      <w:pPr>
        <w:spacing w:before="120" w:after="0" w:line="240" w:lineRule="auto"/>
      </w:pPr>
      <w:r>
        <w:separator/>
      </w:r>
    </w:p>
  </w:endnote>
  <w:endnote w:type="continuationSeparator" w:id="0">
    <w:p w14:paraId="4ADA5456" w14:textId="77777777" w:rsidR="00000000" w:rsidRDefault="004B7489">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atangChe">
    <w:charset w:val="81"/>
    <w:family w:val="modern"/>
    <w:pitch w:val="fixed"/>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A8497" w14:textId="77777777" w:rsidR="00C95FCD" w:rsidRDefault="004B7489">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7FCD4E06" w14:textId="77777777" w:rsidR="00C95FCD" w:rsidRDefault="00C95FCD">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B9F62" w14:textId="77777777" w:rsidR="00C95FCD" w:rsidRDefault="00C95FCD">
    <w:pPr>
      <w:pStyle w:val="Footer"/>
      <w:spacing w:before="120"/>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4EA5A" w14:textId="77777777" w:rsidR="00000000" w:rsidRDefault="004B7489">
      <w:pPr>
        <w:spacing w:before="120" w:after="0" w:line="240" w:lineRule="auto"/>
      </w:pPr>
      <w:r>
        <w:separator/>
      </w:r>
    </w:p>
  </w:footnote>
  <w:footnote w:type="continuationSeparator" w:id="0">
    <w:p w14:paraId="4C7B3B9A" w14:textId="77777777" w:rsidR="00000000" w:rsidRDefault="004B7489">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E82B6" w14:textId="77777777" w:rsidR="00C95FCD" w:rsidRDefault="00C95FCD">
    <w:pPr>
      <w:spacing w:before="120"/>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991FA3A"/>
    <w:multiLevelType w:val="singleLevel"/>
    <w:tmpl w:val="E991FA3A"/>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FD97B4F"/>
    <w:multiLevelType w:val="multilevel"/>
    <w:tmpl w:val="1FD97B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489"/>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95FCD"/>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2AA0F54"/>
    <w:rsid w:val="032B5B4B"/>
    <w:rsid w:val="034A18C1"/>
    <w:rsid w:val="041152F7"/>
    <w:rsid w:val="0413105E"/>
    <w:rsid w:val="04960FC9"/>
    <w:rsid w:val="049D061B"/>
    <w:rsid w:val="0556778F"/>
    <w:rsid w:val="06167D40"/>
    <w:rsid w:val="06746052"/>
    <w:rsid w:val="067552CA"/>
    <w:rsid w:val="067D464C"/>
    <w:rsid w:val="06A179A0"/>
    <w:rsid w:val="07771801"/>
    <w:rsid w:val="07825B13"/>
    <w:rsid w:val="07864148"/>
    <w:rsid w:val="085636D7"/>
    <w:rsid w:val="08B665B2"/>
    <w:rsid w:val="09F42949"/>
    <w:rsid w:val="0ADA27AB"/>
    <w:rsid w:val="0B233C4C"/>
    <w:rsid w:val="0C085429"/>
    <w:rsid w:val="0CB302D0"/>
    <w:rsid w:val="0CD63978"/>
    <w:rsid w:val="0CFF2AF0"/>
    <w:rsid w:val="0D903FA1"/>
    <w:rsid w:val="0D9F789E"/>
    <w:rsid w:val="0E6675E9"/>
    <w:rsid w:val="0E7304E4"/>
    <w:rsid w:val="0F0670A0"/>
    <w:rsid w:val="0F117F9B"/>
    <w:rsid w:val="0F292443"/>
    <w:rsid w:val="0FDD0A05"/>
    <w:rsid w:val="10D00944"/>
    <w:rsid w:val="10E66856"/>
    <w:rsid w:val="121151DD"/>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91B3FEB"/>
    <w:rsid w:val="19B53C17"/>
    <w:rsid w:val="19B84071"/>
    <w:rsid w:val="19D81B97"/>
    <w:rsid w:val="19DD310A"/>
    <w:rsid w:val="1A5646A0"/>
    <w:rsid w:val="1B1962E0"/>
    <w:rsid w:val="1B6E36D8"/>
    <w:rsid w:val="1BFE2EE5"/>
    <w:rsid w:val="1C687840"/>
    <w:rsid w:val="1CBC410B"/>
    <w:rsid w:val="1D60281E"/>
    <w:rsid w:val="1E9373AE"/>
    <w:rsid w:val="1F7230F8"/>
    <w:rsid w:val="20582F06"/>
    <w:rsid w:val="205A1B67"/>
    <w:rsid w:val="211A1954"/>
    <w:rsid w:val="224061F6"/>
    <w:rsid w:val="225D0863"/>
    <w:rsid w:val="22787D6E"/>
    <w:rsid w:val="22960D42"/>
    <w:rsid w:val="22AC71C4"/>
    <w:rsid w:val="234C36DC"/>
    <w:rsid w:val="239E54D8"/>
    <w:rsid w:val="23CC2B77"/>
    <w:rsid w:val="242B5E7E"/>
    <w:rsid w:val="2451628F"/>
    <w:rsid w:val="247A650D"/>
    <w:rsid w:val="2542153C"/>
    <w:rsid w:val="254B0EBB"/>
    <w:rsid w:val="25757213"/>
    <w:rsid w:val="261333A8"/>
    <w:rsid w:val="26333AF0"/>
    <w:rsid w:val="26F87D22"/>
    <w:rsid w:val="27134220"/>
    <w:rsid w:val="27E10E26"/>
    <w:rsid w:val="28951DB2"/>
    <w:rsid w:val="28EF6271"/>
    <w:rsid w:val="28FB11CD"/>
    <w:rsid w:val="29055DDE"/>
    <w:rsid w:val="290C36EF"/>
    <w:rsid w:val="29685280"/>
    <w:rsid w:val="296B560B"/>
    <w:rsid w:val="29A315E5"/>
    <w:rsid w:val="29FD0268"/>
    <w:rsid w:val="2B257241"/>
    <w:rsid w:val="2C1057E5"/>
    <w:rsid w:val="2CC87E6F"/>
    <w:rsid w:val="2CE60D81"/>
    <w:rsid w:val="2DA64CFE"/>
    <w:rsid w:val="2E9A0203"/>
    <w:rsid w:val="2E9C3162"/>
    <w:rsid w:val="2EAC79D3"/>
    <w:rsid w:val="2F10116D"/>
    <w:rsid w:val="2FA04582"/>
    <w:rsid w:val="2FA73BC2"/>
    <w:rsid w:val="30906EDC"/>
    <w:rsid w:val="30BC181C"/>
    <w:rsid w:val="30D7158A"/>
    <w:rsid w:val="311C6F65"/>
    <w:rsid w:val="3274443B"/>
    <w:rsid w:val="33366343"/>
    <w:rsid w:val="335D01AB"/>
    <w:rsid w:val="33CE46B3"/>
    <w:rsid w:val="34035E02"/>
    <w:rsid w:val="34164647"/>
    <w:rsid w:val="349C563D"/>
    <w:rsid w:val="35137B68"/>
    <w:rsid w:val="36314129"/>
    <w:rsid w:val="378E702D"/>
    <w:rsid w:val="37B164B2"/>
    <w:rsid w:val="37BD3193"/>
    <w:rsid w:val="37C65713"/>
    <w:rsid w:val="37E06357"/>
    <w:rsid w:val="38214920"/>
    <w:rsid w:val="38487BE4"/>
    <w:rsid w:val="38AA67C6"/>
    <w:rsid w:val="39807CC0"/>
    <w:rsid w:val="39D626D1"/>
    <w:rsid w:val="39F30B3F"/>
    <w:rsid w:val="3B2F0F23"/>
    <w:rsid w:val="3B360523"/>
    <w:rsid w:val="3B4D53CA"/>
    <w:rsid w:val="3D7D6E14"/>
    <w:rsid w:val="3DCF2E0D"/>
    <w:rsid w:val="3DF07251"/>
    <w:rsid w:val="3F22265A"/>
    <w:rsid w:val="3F5E685A"/>
    <w:rsid w:val="3F6716E0"/>
    <w:rsid w:val="3F6F3D8F"/>
    <w:rsid w:val="3F751146"/>
    <w:rsid w:val="3F7817C5"/>
    <w:rsid w:val="403409ED"/>
    <w:rsid w:val="413A1483"/>
    <w:rsid w:val="42241D93"/>
    <w:rsid w:val="43075B38"/>
    <w:rsid w:val="432C35DA"/>
    <w:rsid w:val="444F0F50"/>
    <w:rsid w:val="445F34EB"/>
    <w:rsid w:val="44807771"/>
    <w:rsid w:val="44C70D28"/>
    <w:rsid w:val="44CA5ED0"/>
    <w:rsid w:val="44F84F89"/>
    <w:rsid w:val="464C7438"/>
    <w:rsid w:val="465002DF"/>
    <w:rsid w:val="47BA7497"/>
    <w:rsid w:val="47C90932"/>
    <w:rsid w:val="47CC43E5"/>
    <w:rsid w:val="480313B7"/>
    <w:rsid w:val="48A615D1"/>
    <w:rsid w:val="49E06BA9"/>
    <w:rsid w:val="4A6B42BA"/>
    <w:rsid w:val="4A78750E"/>
    <w:rsid w:val="4AF063BB"/>
    <w:rsid w:val="4B03481E"/>
    <w:rsid w:val="4B1F4A36"/>
    <w:rsid w:val="4B26478F"/>
    <w:rsid w:val="4CCE58DF"/>
    <w:rsid w:val="4D833BDD"/>
    <w:rsid w:val="4D8F1420"/>
    <w:rsid w:val="4D9133D7"/>
    <w:rsid w:val="4DA259C6"/>
    <w:rsid w:val="4F153710"/>
    <w:rsid w:val="4F32192C"/>
    <w:rsid w:val="4F5D1159"/>
    <w:rsid w:val="4F6911F6"/>
    <w:rsid w:val="4F6B5B31"/>
    <w:rsid w:val="4F7702B4"/>
    <w:rsid w:val="4F861A22"/>
    <w:rsid w:val="505D60F8"/>
    <w:rsid w:val="509E51F9"/>
    <w:rsid w:val="50DC5240"/>
    <w:rsid w:val="513A38F8"/>
    <w:rsid w:val="518642B9"/>
    <w:rsid w:val="52997015"/>
    <w:rsid w:val="52EF7AFD"/>
    <w:rsid w:val="53785995"/>
    <w:rsid w:val="54055632"/>
    <w:rsid w:val="541344B2"/>
    <w:rsid w:val="542C047E"/>
    <w:rsid w:val="555F2D5C"/>
    <w:rsid w:val="55707D6E"/>
    <w:rsid w:val="55D03F0D"/>
    <w:rsid w:val="56570DDF"/>
    <w:rsid w:val="56661008"/>
    <w:rsid w:val="566E68DC"/>
    <w:rsid w:val="567224AC"/>
    <w:rsid w:val="56D415F4"/>
    <w:rsid w:val="56E91F0E"/>
    <w:rsid w:val="57006206"/>
    <w:rsid w:val="570944D3"/>
    <w:rsid w:val="572B6F10"/>
    <w:rsid w:val="57CC2AB5"/>
    <w:rsid w:val="58220522"/>
    <w:rsid w:val="588B6889"/>
    <w:rsid w:val="598F4BEC"/>
    <w:rsid w:val="599D4276"/>
    <w:rsid w:val="59F41719"/>
    <w:rsid w:val="5A546117"/>
    <w:rsid w:val="5A914854"/>
    <w:rsid w:val="5A981FA2"/>
    <w:rsid w:val="5B9D3D8A"/>
    <w:rsid w:val="5BAC7B59"/>
    <w:rsid w:val="5CC919BB"/>
    <w:rsid w:val="5CFE3025"/>
    <w:rsid w:val="5D53372E"/>
    <w:rsid w:val="5DBB697B"/>
    <w:rsid w:val="5E195987"/>
    <w:rsid w:val="5FD536BC"/>
    <w:rsid w:val="604F5B72"/>
    <w:rsid w:val="60755D7F"/>
    <w:rsid w:val="61084ACE"/>
    <w:rsid w:val="61771608"/>
    <w:rsid w:val="624124FD"/>
    <w:rsid w:val="62B54036"/>
    <w:rsid w:val="63BB73BA"/>
    <w:rsid w:val="63CB5BC3"/>
    <w:rsid w:val="642B07CD"/>
    <w:rsid w:val="64E50EAD"/>
    <w:rsid w:val="65984F3F"/>
    <w:rsid w:val="659D6455"/>
    <w:rsid w:val="659E3CB8"/>
    <w:rsid w:val="65F73C65"/>
    <w:rsid w:val="66175F6C"/>
    <w:rsid w:val="668F2C57"/>
    <w:rsid w:val="6694541D"/>
    <w:rsid w:val="66A10B7C"/>
    <w:rsid w:val="66B90322"/>
    <w:rsid w:val="66D30702"/>
    <w:rsid w:val="66D400FB"/>
    <w:rsid w:val="6742197E"/>
    <w:rsid w:val="67655F5B"/>
    <w:rsid w:val="676F688E"/>
    <w:rsid w:val="678A14A8"/>
    <w:rsid w:val="68F93924"/>
    <w:rsid w:val="69514322"/>
    <w:rsid w:val="69797C2C"/>
    <w:rsid w:val="69CB3D72"/>
    <w:rsid w:val="69D04AC7"/>
    <w:rsid w:val="6A2D32EF"/>
    <w:rsid w:val="6A667D8E"/>
    <w:rsid w:val="6B095FA5"/>
    <w:rsid w:val="6B5758E6"/>
    <w:rsid w:val="6C272137"/>
    <w:rsid w:val="6CA14A31"/>
    <w:rsid w:val="6CA73C88"/>
    <w:rsid w:val="6CA87341"/>
    <w:rsid w:val="6CD616AD"/>
    <w:rsid w:val="6D1B16C6"/>
    <w:rsid w:val="6D624BE1"/>
    <w:rsid w:val="6E6A6492"/>
    <w:rsid w:val="6EF90FB6"/>
    <w:rsid w:val="6F372F1E"/>
    <w:rsid w:val="6F424DC6"/>
    <w:rsid w:val="70772371"/>
    <w:rsid w:val="70B268B6"/>
    <w:rsid w:val="70B646BA"/>
    <w:rsid w:val="70F424CE"/>
    <w:rsid w:val="71063756"/>
    <w:rsid w:val="71A04715"/>
    <w:rsid w:val="71D52274"/>
    <w:rsid w:val="71DA4E05"/>
    <w:rsid w:val="71E47FB5"/>
    <w:rsid w:val="7204157C"/>
    <w:rsid w:val="72BF5DEB"/>
    <w:rsid w:val="735F52EF"/>
    <w:rsid w:val="738D7669"/>
    <w:rsid w:val="73C86FC2"/>
    <w:rsid w:val="750B18BC"/>
    <w:rsid w:val="758E056D"/>
    <w:rsid w:val="759A5A96"/>
    <w:rsid w:val="761E6675"/>
    <w:rsid w:val="76461F12"/>
    <w:rsid w:val="765014FD"/>
    <w:rsid w:val="765123BD"/>
    <w:rsid w:val="7696035D"/>
    <w:rsid w:val="76DD7FE4"/>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EB4CF5"/>
    <w:rsid w:val="7D093ADB"/>
    <w:rsid w:val="7F294548"/>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A4E60"/>
  <w15:docId w15:val="{4C3E1479-C5F0-420C-A5D0-38A52FEE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Lines="50" w:before="50"/>
      <w:jc w:val="both"/>
    </w:pPr>
    <w:rPr>
      <w:rFonts w:ascii="Times New Roman" w:eastAsiaTheme="minorEastAsia" w:hAnsi="Times New Roman"/>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hAnsi="Times New Roman"/>
      <w:sz w:val="18"/>
      <w:szCs w:val="18"/>
      <w:lang w:val="en-US" w:eastAsia="zh-CN"/>
    </w:rPr>
  </w:style>
  <w:style w:type="paragraph" w:customStyle="1" w:styleId="a6">
    <w:name w:val="示例内容"/>
    <w:qFormat/>
    <w:pPr>
      <w:ind w:firstLineChars="200" w:firstLine="200"/>
    </w:pPr>
    <w:rPr>
      <w:rFonts w:ascii="SimSun" w:eastAsiaTheme="minorEastAsia" w:hAnsi="Times New Roman"/>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ascii="Times New Roman" w:eastAsiaTheme="minorEastAsia" w:hAnsi="Times New Roman"/>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hAnsi="Times New Roman"/>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lang w:val="en-US" w:eastAsia="zh-CN"/>
    </w:rPr>
  </w:style>
  <w:style w:type="paragraph" w:customStyle="1" w:styleId="affff0">
    <w:name w:val="附录字母编号列项（一级）"/>
    <w:qFormat/>
    <w:pPr>
      <w:tabs>
        <w:tab w:val="left" w:pos="839"/>
      </w:tabs>
      <w:ind w:firstLine="363"/>
    </w:pPr>
    <w:rPr>
      <w:rFonts w:ascii="SimSun" w:eastAsiaTheme="minorEastAsia" w:hAnsi="Times New Roman"/>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hAnsi="Times New Roman"/>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eastAsia="en-US"/>
    </w:rPr>
  </w:style>
  <w:style w:type="paragraph" w:styleId="ListParagraph">
    <w:name w:val="List Paragraph"/>
    <w:basedOn w:val="Normal"/>
    <w:uiPriority w:val="34"/>
    <w:qFormat/>
    <w:pPr>
      <w:overflowPunct w:val="0"/>
      <w:autoSpaceDE w:val="0"/>
      <w:autoSpaceDN w:val="0"/>
      <w:adjustRightInd w:val="0"/>
      <w:spacing w:after="180"/>
      <w:ind w:left="720"/>
      <w:contextualSpacing/>
      <w:textAlignment w:val="baseline"/>
    </w:pPr>
    <w:rPr>
      <w:rFonts w:eastAsia="SimSu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651A8C-BC74-42B1-A1E8-F823121F8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1033</Words>
  <Characters>5892</Characters>
  <Application>Microsoft Office Word</Application>
  <DocSecurity>0</DocSecurity>
  <Lines>49</Lines>
  <Paragraphs>13</Paragraphs>
  <ScaleCrop>false</ScaleCrop>
  <Company/>
  <LinksUpToDate>false</LinksUpToDate>
  <CharactersWithSpaces>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14</cp:revision>
  <cp:lastPrinted>2113-01-01T00:00:00Z</cp:lastPrinted>
  <dcterms:created xsi:type="dcterms:W3CDTF">2017-09-06T12:59:00Z</dcterms:created>
  <dcterms:modified xsi:type="dcterms:W3CDTF">2018-02-15T16:35:00Z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